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9030" w14:textId="77777777" w:rsidR="00AE54A6" w:rsidRPr="00AE54A6" w:rsidRDefault="00AE54A6" w:rsidP="00AE54A6">
      <w:pPr>
        <w:widowControl/>
        <w:ind w:right="-227"/>
        <w:jc w:val="right"/>
        <w:rPr>
          <w:rFonts w:ascii="Times New Roman" w:hAnsi="Times New Roman"/>
        </w:rPr>
      </w:pPr>
    </w:p>
    <w:p w14:paraId="2EF55D13" w14:textId="77777777" w:rsidR="00AE54A6" w:rsidRDefault="00AE54A6">
      <w:pPr>
        <w:widowControl/>
        <w:ind w:right="-227"/>
        <w:jc w:val="center"/>
        <w:rPr>
          <w:rFonts w:ascii="Times New Roman" w:hAnsi="Times New Roman"/>
          <w:b/>
        </w:rPr>
      </w:pPr>
    </w:p>
    <w:p w14:paraId="1600815D" w14:textId="77777777" w:rsidR="00AE54A6" w:rsidRDefault="00AE54A6" w:rsidP="002479FD">
      <w:pPr>
        <w:widowControl/>
        <w:ind w:right="-227"/>
        <w:rPr>
          <w:rFonts w:ascii="Times New Roman" w:hAnsi="Times New Roman"/>
          <w:b/>
        </w:rPr>
      </w:pPr>
    </w:p>
    <w:p w14:paraId="5C87EAE5" w14:textId="77777777" w:rsidR="000E45CA" w:rsidRPr="00225205" w:rsidRDefault="000E45CA">
      <w:pPr>
        <w:widowControl/>
        <w:ind w:right="-227"/>
        <w:jc w:val="center"/>
        <w:rPr>
          <w:rFonts w:ascii="Times New Roman" w:hAnsi="Times New Roman"/>
          <w:b/>
          <w:sz w:val="32"/>
          <w:szCs w:val="32"/>
        </w:rPr>
      </w:pPr>
      <w:r w:rsidRPr="00225205">
        <w:rPr>
          <w:rFonts w:ascii="Times New Roman" w:hAnsi="Times New Roman"/>
          <w:b/>
          <w:sz w:val="32"/>
          <w:szCs w:val="32"/>
        </w:rPr>
        <w:t xml:space="preserve">Ziņas par valdes locekli </w:t>
      </w:r>
    </w:p>
    <w:p w14:paraId="4EF400DA" w14:textId="0AB0AEAD" w:rsidR="00EF7503" w:rsidRDefault="000E45CA" w:rsidP="000E45CA">
      <w:pPr>
        <w:widowControl/>
        <w:ind w:right="-2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atbilstoši “P</w:t>
      </w:r>
      <w:r w:rsidRPr="000E45CA">
        <w:rPr>
          <w:rFonts w:ascii="Times New Roman" w:hAnsi="Times New Roman"/>
          <w:b/>
        </w:rPr>
        <w:t>ubliskas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personas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kapit</w:t>
      </w:r>
      <w:r>
        <w:rPr>
          <w:rFonts w:ascii="Times New Roman" w:hAnsi="Times New Roman"/>
          <w:b/>
        </w:rPr>
        <w:t>ā</w:t>
      </w:r>
      <w:r w:rsidRPr="000E45CA"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</w:rPr>
        <w:t>ļ</w:t>
      </w:r>
      <w:r w:rsidRPr="000E45CA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un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kapit</w:t>
      </w:r>
      <w:r>
        <w:rPr>
          <w:rFonts w:ascii="Times New Roman" w:hAnsi="Times New Roman"/>
          <w:b/>
        </w:rPr>
        <w:t>ā</w:t>
      </w:r>
      <w:r w:rsidRPr="000E45CA">
        <w:rPr>
          <w:rFonts w:ascii="Times New Roman" w:hAnsi="Times New Roman"/>
          <w:b/>
        </w:rPr>
        <w:t>lsabiedr</w:t>
      </w:r>
      <w:r>
        <w:rPr>
          <w:rFonts w:ascii="Times New Roman" w:hAnsi="Times New Roman"/>
          <w:b/>
        </w:rPr>
        <w:t>ī</w:t>
      </w:r>
      <w:r w:rsidRPr="000E45CA">
        <w:rPr>
          <w:rFonts w:ascii="Times New Roman" w:hAnsi="Times New Roman"/>
          <w:b/>
        </w:rPr>
        <w:t>bu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ā</w:t>
      </w:r>
      <w:r w:rsidRPr="000E45CA">
        <w:rPr>
          <w:rFonts w:ascii="Times New Roman" w:hAnsi="Times New Roman"/>
          <w:b/>
        </w:rPr>
        <w:t>rvald</w:t>
      </w:r>
      <w:r>
        <w:rPr>
          <w:rFonts w:ascii="Times New Roman" w:hAnsi="Times New Roman"/>
          <w:b/>
        </w:rPr>
        <w:t>ī</w:t>
      </w:r>
      <w:r w:rsidRPr="000E45CA">
        <w:rPr>
          <w:rFonts w:ascii="Times New Roman" w:hAnsi="Times New Roman"/>
          <w:b/>
        </w:rPr>
        <w:t>bas</w:t>
      </w:r>
      <w:r>
        <w:rPr>
          <w:rFonts w:ascii="Times New Roman" w:hAnsi="Times New Roman"/>
          <w:b/>
        </w:rPr>
        <w:t xml:space="preserve"> </w:t>
      </w:r>
      <w:r w:rsidRPr="000E45CA">
        <w:rPr>
          <w:rFonts w:ascii="Times New Roman" w:hAnsi="Times New Roman"/>
          <w:b/>
        </w:rPr>
        <w:t>likum</w:t>
      </w:r>
      <w:r>
        <w:rPr>
          <w:rFonts w:ascii="Times New Roman" w:hAnsi="Times New Roman"/>
          <w:b/>
        </w:rPr>
        <w:t xml:space="preserve">a” </w:t>
      </w:r>
      <w:r w:rsidRPr="000E45CA">
        <w:rPr>
          <w:rFonts w:ascii="Times New Roman" w:hAnsi="Times New Roman"/>
          <w:b/>
        </w:rPr>
        <w:t>58.pant</w:t>
      </w:r>
      <w:r>
        <w:rPr>
          <w:rFonts w:ascii="Times New Roman" w:hAnsi="Times New Roman"/>
          <w:b/>
        </w:rPr>
        <w:t>a</w:t>
      </w:r>
      <w:r w:rsidRPr="000E4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“</w:t>
      </w:r>
      <w:r w:rsidRPr="000E45CA">
        <w:rPr>
          <w:rFonts w:ascii="Times New Roman" w:hAnsi="Times New Roman"/>
          <w:b/>
        </w:rPr>
        <w:t>Informācijas par kapitālsabiedrību publiskošana</w:t>
      </w:r>
      <w:r>
        <w:rPr>
          <w:rFonts w:ascii="Times New Roman" w:hAnsi="Times New Roman"/>
          <w:b/>
        </w:rPr>
        <w:t>” prasībām</w:t>
      </w:r>
    </w:p>
    <w:p w14:paraId="21F2545C" w14:textId="77777777" w:rsidR="000E45CA" w:rsidRDefault="000E45CA" w:rsidP="000E45CA">
      <w:pPr>
        <w:widowControl/>
        <w:ind w:right="-227"/>
        <w:jc w:val="center"/>
        <w:rPr>
          <w:rFonts w:ascii="Times New Roman" w:hAnsi="Times New Roman"/>
          <w:b/>
        </w:rPr>
      </w:pPr>
    </w:p>
    <w:p w14:paraId="2274D011" w14:textId="421B7665" w:rsidR="000E45CA" w:rsidRPr="000E45CA" w:rsidRDefault="000E45CA" w:rsidP="000E45CA">
      <w:pPr>
        <w:widowControl/>
        <w:ind w:right="-227"/>
        <w:jc w:val="center"/>
        <w:rPr>
          <w:rFonts w:ascii="Times New Roman" w:hAnsi="Times New Roman"/>
          <w:b/>
          <w:sz w:val="28"/>
          <w:szCs w:val="28"/>
        </w:rPr>
      </w:pPr>
      <w:r w:rsidRPr="000E45CA">
        <w:rPr>
          <w:rFonts w:ascii="Times New Roman" w:hAnsi="Times New Roman"/>
          <w:b/>
          <w:sz w:val="28"/>
          <w:szCs w:val="28"/>
        </w:rPr>
        <w:t xml:space="preserve">Amats: </w:t>
      </w:r>
      <w:proofErr w:type="spellStart"/>
      <w:r w:rsidRPr="000E45CA">
        <w:rPr>
          <w:rFonts w:ascii="Times New Roman" w:hAnsi="Times New Roman"/>
          <w:b/>
          <w:sz w:val="28"/>
          <w:szCs w:val="28"/>
        </w:rPr>
        <w:t>Cēsu</w:t>
      </w:r>
      <w:proofErr w:type="spellEnd"/>
      <w:r w:rsidRPr="000E45CA">
        <w:rPr>
          <w:rFonts w:ascii="Times New Roman" w:hAnsi="Times New Roman"/>
          <w:b/>
          <w:sz w:val="28"/>
          <w:szCs w:val="28"/>
        </w:rPr>
        <w:t xml:space="preserve"> pilsētas Sabiedrības ar ierobežotu atbildību „VINDA” valdes loceklis</w:t>
      </w:r>
    </w:p>
    <w:p w14:paraId="01D19586" w14:textId="77777777" w:rsidR="00EF7503" w:rsidRDefault="00EF7503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</w:p>
    <w:p w14:paraId="6061DF7D" w14:textId="62C1C95D" w:rsidR="00EF7503" w:rsidRPr="00225205" w:rsidRDefault="00EF7503" w:rsidP="00B571AB">
      <w:pPr>
        <w:widowControl/>
        <w:tabs>
          <w:tab w:val="left" w:pos="1843"/>
        </w:tabs>
        <w:ind w:right="198"/>
        <w:rPr>
          <w:rFonts w:ascii="Times New Roman" w:hAnsi="Times New Roman"/>
          <w:b/>
          <w:sz w:val="28"/>
          <w:szCs w:val="22"/>
        </w:rPr>
      </w:pPr>
      <w:r w:rsidRPr="00225205">
        <w:rPr>
          <w:rFonts w:ascii="Times New Roman" w:hAnsi="Times New Roman"/>
          <w:b/>
          <w:sz w:val="28"/>
          <w:szCs w:val="22"/>
        </w:rPr>
        <w:t xml:space="preserve">1. </w:t>
      </w:r>
      <w:r w:rsidR="000E45CA" w:rsidRPr="00225205">
        <w:rPr>
          <w:rFonts w:ascii="Times New Roman" w:hAnsi="Times New Roman"/>
          <w:b/>
          <w:sz w:val="28"/>
          <w:szCs w:val="22"/>
        </w:rPr>
        <w:t>Vārds</w:t>
      </w:r>
      <w:r w:rsidRPr="00225205">
        <w:rPr>
          <w:rFonts w:ascii="Times New Roman" w:hAnsi="Times New Roman"/>
          <w:b/>
          <w:sz w:val="28"/>
          <w:szCs w:val="22"/>
        </w:rPr>
        <w:t>:</w:t>
      </w:r>
      <w:r w:rsidRPr="00225205">
        <w:rPr>
          <w:rFonts w:ascii="Times New Roman" w:hAnsi="Times New Roman"/>
          <w:sz w:val="28"/>
          <w:szCs w:val="22"/>
        </w:rPr>
        <w:t xml:space="preserve">  </w:t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="000E45CA" w:rsidRPr="00225205">
        <w:rPr>
          <w:rFonts w:ascii="Times New Roman" w:hAnsi="Times New Roman"/>
          <w:b/>
          <w:sz w:val="28"/>
          <w:szCs w:val="22"/>
        </w:rPr>
        <w:t>Varis</w:t>
      </w:r>
    </w:p>
    <w:p w14:paraId="25C7A5E4" w14:textId="77777777" w:rsidR="00EF7503" w:rsidRPr="00225205" w:rsidRDefault="00EF7503">
      <w:pPr>
        <w:widowControl/>
        <w:tabs>
          <w:tab w:val="left" w:pos="1843"/>
        </w:tabs>
        <w:ind w:right="198"/>
        <w:rPr>
          <w:rFonts w:ascii="Times New Roman" w:hAnsi="Times New Roman"/>
          <w:sz w:val="28"/>
          <w:szCs w:val="22"/>
        </w:rPr>
      </w:pPr>
    </w:p>
    <w:p w14:paraId="6F9478D0" w14:textId="16E387DA" w:rsidR="00EF7503" w:rsidRPr="00225205" w:rsidRDefault="00EF7503" w:rsidP="00953220">
      <w:pPr>
        <w:widowControl/>
        <w:tabs>
          <w:tab w:val="left" w:pos="1843"/>
        </w:tabs>
        <w:ind w:right="198"/>
        <w:rPr>
          <w:rFonts w:ascii="Times New Roman" w:hAnsi="Times New Roman"/>
          <w:b/>
          <w:sz w:val="28"/>
          <w:szCs w:val="22"/>
        </w:rPr>
      </w:pPr>
      <w:r w:rsidRPr="00225205">
        <w:rPr>
          <w:rFonts w:ascii="Times New Roman" w:hAnsi="Times New Roman"/>
          <w:b/>
          <w:sz w:val="28"/>
          <w:szCs w:val="22"/>
        </w:rPr>
        <w:t xml:space="preserve">2. </w:t>
      </w:r>
      <w:r w:rsidR="000E45CA" w:rsidRPr="00225205">
        <w:rPr>
          <w:rFonts w:ascii="Times New Roman" w:hAnsi="Times New Roman"/>
          <w:b/>
          <w:sz w:val="28"/>
          <w:szCs w:val="22"/>
        </w:rPr>
        <w:t>Uzvārds</w:t>
      </w:r>
      <w:r w:rsidRPr="00225205">
        <w:rPr>
          <w:rFonts w:ascii="Times New Roman" w:hAnsi="Times New Roman"/>
          <w:b/>
          <w:sz w:val="28"/>
          <w:szCs w:val="22"/>
        </w:rPr>
        <w:t>:</w:t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Pr="00225205">
        <w:rPr>
          <w:rFonts w:ascii="Times New Roman" w:hAnsi="Times New Roman"/>
          <w:sz w:val="28"/>
          <w:szCs w:val="22"/>
        </w:rPr>
        <w:tab/>
      </w:r>
      <w:r w:rsidR="000E45CA" w:rsidRPr="00225205">
        <w:rPr>
          <w:rFonts w:ascii="Times New Roman" w:hAnsi="Times New Roman"/>
          <w:b/>
          <w:sz w:val="28"/>
          <w:szCs w:val="22"/>
        </w:rPr>
        <w:t>Ādamsons</w:t>
      </w:r>
    </w:p>
    <w:p w14:paraId="21C0759F" w14:textId="77777777" w:rsidR="000D2688" w:rsidRDefault="000D2688" w:rsidP="00953220">
      <w:pPr>
        <w:widowControl/>
        <w:tabs>
          <w:tab w:val="left" w:pos="1843"/>
        </w:tabs>
        <w:ind w:right="198"/>
        <w:rPr>
          <w:rFonts w:ascii="Times New Roman" w:hAnsi="Times New Roman"/>
          <w:b/>
        </w:rPr>
      </w:pPr>
    </w:p>
    <w:p w14:paraId="47C1BCB9" w14:textId="5251DCDA" w:rsidR="000D2688" w:rsidRDefault="000D2688" w:rsidP="00953220">
      <w:pPr>
        <w:widowControl/>
        <w:tabs>
          <w:tab w:val="left" w:pos="1843"/>
        </w:tabs>
        <w:ind w:right="198"/>
        <w:rPr>
          <w:b/>
          <w:bCs/>
        </w:rPr>
      </w:pPr>
      <w:r w:rsidRPr="000D2688">
        <w:rPr>
          <w:b/>
          <w:bCs/>
        </w:rPr>
        <w:t>3</w:t>
      </w:r>
      <w:r>
        <w:t xml:space="preserve">. </w:t>
      </w:r>
      <w:r w:rsidRPr="000D2688">
        <w:rPr>
          <w:b/>
          <w:bCs/>
        </w:rPr>
        <w:t>Profesionālā darba pieredze</w:t>
      </w:r>
    </w:p>
    <w:p w14:paraId="24671CA1" w14:textId="77777777" w:rsidR="000D2688" w:rsidRDefault="000D2688" w:rsidP="00953220">
      <w:pPr>
        <w:widowControl/>
        <w:tabs>
          <w:tab w:val="left" w:pos="1843"/>
        </w:tabs>
        <w:ind w:right="198"/>
        <w:rPr>
          <w:b/>
          <w:bCs/>
        </w:rPr>
      </w:pPr>
    </w:p>
    <w:p w14:paraId="6B463E2D" w14:textId="638978F1" w:rsidR="000D2688" w:rsidRDefault="000D2688" w:rsidP="00953220">
      <w:pPr>
        <w:widowControl/>
        <w:tabs>
          <w:tab w:val="left" w:pos="1843"/>
        </w:tabs>
        <w:ind w:right="198"/>
        <w:rPr>
          <w:b/>
          <w:bCs/>
        </w:rPr>
      </w:pPr>
      <w:r>
        <w:rPr>
          <w:b/>
          <w:bCs/>
        </w:rPr>
        <w:t xml:space="preserve">  Ieņemamie amati:</w:t>
      </w:r>
    </w:p>
    <w:tbl>
      <w:tblPr>
        <w:tblW w:w="88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78"/>
      </w:tblGrid>
      <w:tr w:rsidR="000D2688" w14:paraId="29167168" w14:textId="77777777" w:rsidTr="000D2688">
        <w:trPr>
          <w:trHeight w:val="518"/>
        </w:trPr>
        <w:tc>
          <w:tcPr>
            <w:tcW w:w="1530" w:type="dxa"/>
          </w:tcPr>
          <w:p w14:paraId="67DB64BA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  <w:tc>
          <w:tcPr>
            <w:tcW w:w="7278" w:type="dxa"/>
          </w:tcPr>
          <w:p w14:paraId="66B42C5A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– 1991</w:t>
            </w:r>
          </w:p>
        </w:tc>
      </w:tr>
      <w:tr w:rsidR="000D2688" w14:paraId="55D3F3D1" w14:textId="77777777" w:rsidTr="000D2688">
        <w:trPr>
          <w:trHeight w:val="522"/>
        </w:trPr>
        <w:tc>
          <w:tcPr>
            <w:tcW w:w="1530" w:type="dxa"/>
          </w:tcPr>
          <w:p w14:paraId="5D096E28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Vieta</w:t>
            </w:r>
          </w:p>
        </w:tc>
        <w:tc>
          <w:tcPr>
            <w:tcW w:w="7278" w:type="dxa"/>
          </w:tcPr>
          <w:p w14:paraId="4DD3EA65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Cēsis, Latvija</w:t>
            </w:r>
          </w:p>
        </w:tc>
      </w:tr>
      <w:tr w:rsidR="000D2688" w14:paraId="74A2A742" w14:textId="77777777" w:rsidTr="000D2688">
        <w:trPr>
          <w:trHeight w:val="499"/>
        </w:trPr>
        <w:tc>
          <w:tcPr>
            <w:tcW w:w="1530" w:type="dxa"/>
          </w:tcPr>
          <w:p w14:paraId="3F3D6B92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</w:t>
            </w:r>
          </w:p>
        </w:tc>
        <w:tc>
          <w:tcPr>
            <w:tcW w:w="7278" w:type="dxa"/>
          </w:tcPr>
          <w:p w14:paraId="3254A74B" w14:textId="77777777" w:rsidR="000D2688" w:rsidRDefault="000D2688" w:rsidP="00CC4B53">
            <w:pPr>
              <w:widowControl/>
              <w:ind w:right="19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Cēsu</w:t>
            </w:r>
            <w:proofErr w:type="spellEnd"/>
            <w:r>
              <w:rPr>
                <w:rFonts w:ascii="Times New Roman" w:hAnsi="Times New Roman"/>
              </w:rPr>
              <w:t xml:space="preserve"> rajona ūdensvada un kanalizācijas saimniecības pārvalde</w:t>
            </w:r>
          </w:p>
        </w:tc>
      </w:tr>
      <w:tr w:rsidR="000D2688" w14:paraId="28660D71" w14:textId="77777777" w:rsidTr="000D2688">
        <w:trPr>
          <w:trHeight w:val="502"/>
        </w:trPr>
        <w:tc>
          <w:tcPr>
            <w:tcW w:w="1530" w:type="dxa"/>
          </w:tcPr>
          <w:p w14:paraId="1EF785F7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Amats</w:t>
            </w:r>
          </w:p>
        </w:tc>
        <w:tc>
          <w:tcPr>
            <w:tcW w:w="7278" w:type="dxa"/>
          </w:tcPr>
          <w:p w14:paraId="18DB194B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Priekšnieks</w:t>
            </w:r>
          </w:p>
        </w:tc>
      </w:tr>
    </w:tbl>
    <w:p w14:paraId="6E1E6E8E" w14:textId="77777777" w:rsidR="000D2688" w:rsidRDefault="000D2688" w:rsidP="000D2688">
      <w:pPr>
        <w:widowControl/>
        <w:ind w:right="198"/>
        <w:rPr>
          <w:rFonts w:ascii="Times New Roman" w:hAnsi="Times New Roman"/>
        </w:rPr>
      </w:pPr>
    </w:p>
    <w:tbl>
      <w:tblPr>
        <w:tblW w:w="88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7277"/>
      </w:tblGrid>
      <w:tr w:rsidR="000D2688" w14:paraId="3E4310BD" w14:textId="77777777" w:rsidTr="000D2688">
        <w:trPr>
          <w:trHeight w:val="458"/>
        </w:trPr>
        <w:tc>
          <w:tcPr>
            <w:tcW w:w="1531" w:type="dxa"/>
          </w:tcPr>
          <w:p w14:paraId="20843ADE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  <w:tc>
          <w:tcPr>
            <w:tcW w:w="7277" w:type="dxa"/>
          </w:tcPr>
          <w:p w14:paraId="0BD3251A" w14:textId="4F63ED09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1991 - 2003</w:t>
            </w:r>
          </w:p>
        </w:tc>
      </w:tr>
      <w:tr w:rsidR="000D2688" w14:paraId="56E14FA9" w14:textId="77777777" w:rsidTr="000D2688">
        <w:trPr>
          <w:trHeight w:val="458"/>
        </w:trPr>
        <w:tc>
          <w:tcPr>
            <w:tcW w:w="1531" w:type="dxa"/>
          </w:tcPr>
          <w:p w14:paraId="2DE608A4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Vieta</w:t>
            </w:r>
          </w:p>
        </w:tc>
        <w:tc>
          <w:tcPr>
            <w:tcW w:w="7277" w:type="dxa"/>
          </w:tcPr>
          <w:p w14:paraId="6CE63738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Cēsis, Latvija</w:t>
            </w:r>
          </w:p>
        </w:tc>
      </w:tr>
      <w:tr w:rsidR="000D2688" w14:paraId="1EB1783E" w14:textId="77777777" w:rsidTr="000D2688">
        <w:trPr>
          <w:trHeight w:val="458"/>
        </w:trPr>
        <w:tc>
          <w:tcPr>
            <w:tcW w:w="1531" w:type="dxa"/>
          </w:tcPr>
          <w:p w14:paraId="1CB9EB07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</w:t>
            </w:r>
          </w:p>
        </w:tc>
        <w:tc>
          <w:tcPr>
            <w:tcW w:w="7277" w:type="dxa"/>
          </w:tcPr>
          <w:p w14:paraId="237A1CD9" w14:textId="2A0343C4" w:rsidR="000D2688" w:rsidRDefault="000D2688" w:rsidP="00CC4B53">
            <w:pPr>
              <w:widowControl/>
              <w:ind w:right="19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Cēsu</w:t>
            </w:r>
            <w:proofErr w:type="spellEnd"/>
            <w:r>
              <w:rPr>
                <w:rFonts w:ascii="Times New Roman" w:hAnsi="Times New Roman"/>
              </w:rPr>
              <w:t xml:space="preserve"> pilsētas pašvaldības uzņēmums “VINDA”</w:t>
            </w:r>
          </w:p>
        </w:tc>
      </w:tr>
      <w:tr w:rsidR="000D2688" w14:paraId="546A3F14" w14:textId="77777777" w:rsidTr="000D2688">
        <w:trPr>
          <w:trHeight w:val="503"/>
        </w:trPr>
        <w:tc>
          <w:tcPr>
            <w:tcW w:w="1531" w:type="dxa"/>
          </w:tcPr>
          <w:p w14:paraId="195E99F9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Amats</w:t>
            </w:r>
          </w:p>
        </w:tc>
        <w:tc>
          <w:tcPr>
            <w:tcW w:w="7277" w:type="dxa"/>
          </w:tcPr>
          <w:p w14:paraId="5D45A8D1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Direktors</w:t>
            </w:r>
          </w:p>
        </w:tc>
      </w:tr>
    </w:tbl>
    <w:p w14:paraId="0B02C45A" w14:textId="77777777" w:rsidR="000D2688" w:rsidRDefault="000D2688" w:rsidP="000D2688">
      <w:pPr>
        <w:widowControl/>
        <w:ind w:right="198"/>
        <w:rPr>
          <w:rFonts w:ascii="Times New Roman" w:hAnsi="Times New Roman"/>
        </w:rPr>
      </w:pPr>
    </w:p>
    <w:tbl>
      <w:tblPr>
        <w:tblW w:w="88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7277"/>
      </w:tblGrid>
      <w:tr w:rsidR="000D2688" w14:paraId="693B766E" w14:textId="77777777" w:rsidTr="000D2688">
        <w:trPr>
          <w:trHeight w:val="458"/>
        </w:trPr>
        <w:tc>
          <w:tcPr>
            <w:tcW w:w="1531" w:type="dxa"/>
          </w:tcPr>
          <w:p w14:paraId="04335B42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  <w:tc>
          <w:tcPr>
            <w:tcW w:w="7277" w:type="dxa"/>
          </w:tcPr>
          <w:p w14:paraId="4140AD0C" w14:textId="1B8DDFB5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2003 -</w:t>
            </w:r>
            <w:r w:rsidR="003D6262">
              <w:rPr>
                <w:rFonts w:ascii="Times New Roman" w:hAnsi="Times New Roman"/>
              </w:rPr>
              <w:t xml:space="preserve"> šobrīd</w:t>
            </w:r>
          </w:p>
        </w:tc>
      </w:tr>
      <w:tr w:rsidR="000D2688" w14:paraId="18DEE7E0" w14:textId="77777777" w:rsidTr="000D2688">
        <w:trPr>
          <w:trHeight w:val="458"/>
        </w:trPr>
        <w:tc>
          <w:tcPr>
            <w:tcW w:w="1531" w:type="dxa"/>
          </w:tcPr>
          <w:p w14:paraId="293B4855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Vieta</w:t>
            </w:r>
          </w:p>
        </w:tc>
        <w:tc>
          <w:tcPr>
            <w:tcW w:w="7277" w:type="dxa"/>
          </w:tcPr>
          <w:p w14:paraId="6252ADB5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Cēsis, Latvija</w:t>
            </w:r>
          </w:p>
        </w:tc>
      </w:tr>
      <w:tr w:rsidR="000D2688" w14:paraId="42FF1228" w14:textId="77777777" w:rsidTr="000D2688">
        <w:trPr>
          <w:trHeight w:val="458"/>
        </w:trPr>
        <w:tc>
          <w:tcPr>
            <w:tcW w:w="1531" w:type="dxa"/>
          </w:tcPr>
          <w:p w14:paraId="3A723E2A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</w:t>
            </w:r>
          </w:p>
        </w:tc>
        <w:tc>
          <w:tcPr>
            <w:tcW w:w="7277" w:type="dxa"/>
          </w:tcPr>
          <w:p w14:paraId="4BC7972A" w14:textId="738125F5" w:rsidR="000D2688" w:rsidRDefault="000D2688" w:rsidP="00CC4B53">
            <w:pPr>
              <w:widowControl/>
              <w:ind w:right="19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Cēsu</w:t>
            </w:r>
            <w:proofErr w:type="spellEnd"/>
            <w:r>
              <w:rPr>
                <w:rFonts w:ascii="Times New Roman" w:hAnsi="Times New Roman"/>
              </w:rPr>
              <w:t xml:space="preserve"> pilsētas SIA “VINDA”</w:t>
            </w:r>
          </w:p>
        </w:tc>
      </w:tr>
      <w:tr w:rsidR="000D2688" w14:paraId="38AE44F5" w14:textId="77777777" w:rsidTr="000D2688">
        <w:trPr>
          <w:trHeight w:val="542"/>
        </w:trPr>
        <w:tc>
          <w:tcPr>
            <w:tcW w:w="1531" w:type="dxa"/>
          </w:tcPr>
          <w:p w14:paraId="4E685196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Amats</w:t>
            </w:r>
          </w:p>
        </w:tc>
        <w:tc>
          <w:tcPr>
            <w:tcW w:w="7277" w:type="dxa"/>
          </w:tcPr>
          <w:p w14:paraId="130EC528" w14:textId="77777777" w:rsidR="000D2688" w:rsidRDefault="000D2688" w:rsidP="00CC4B5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Valdes priekšsēdētājs, valdes loceklis</w:t>
            </w:r>
          </w:p>
        </w:tc>
      </w:tr>
    </w:tbl>
    <w:p w14:paraId="725E029F" w14:textId="77777777" w:rsidR="000D2688" w:rsidRDefault="000D2688" w:rsidP="000D2688">
      <w:pPr>
        <w:widowControl/>
        <w:tabs>
          <w:tab w:val="left" w:pos="360"/>
        </w:tabs>
        <w:ind w:right="198"/>
        <w:rPr>
          <w:rFonts w:ascii="Times New Roman" w:hAnsi="Times New Roman"/>
          <w:b/>
        </w:rPr>
      </w:pPr>
    </w:p>
    <w:p w14:paraId="25EEAEEB" w14:textId="60DEEF26" w:rsidR="000D2688" w:rsidRDefault="000D2688" w:rsidP="000D2688">
      <w:pPr>
        <w:widowControl/>
        <w:tabs>
          <w:tab w:val="left" w:pos="360"/>
        </w:tabs>
        <w:ind w:right="19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Pieredze:</w:t>
      </w:r>
    </w:p>
    <w:p w14:paraId="50B92C29" w14:textId="77777777" w:rsidR="000D2688" w:rsidRDefault="000D2688" w:rsidP="000D2688">
      <w:pPr>
        <w:widowControl/>
        <w:numPr>
          <w:ilvl w:val="0"/>
          <w:numId w:val="2"/>
        </w:numPr>
        <w:tabs>
          <w:tab w:val="left" w:pos="360"/>
        </w:tabs>
        <w:ind w:left="1060" w:right="19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 gadu  pieredze strādājot par ūdensapgādes  uzņēmuma vadītāju;</w:t>
      </w:r>
    </w:p>
    <w:p w14:paraId="6AE002F9" w14:textId="77777777" w:rsidR="000D2688" w:rsidRDefault="000D2688" w:rsidP="000D2688">
      <w:pPr>
        <w:widowControl/>
        <w:numPr>
          <w:ilvl w:val="0"/>
          <w:numId w:val="2"/>
        </w:numPr>
        <w:tabs>
          <w:tab w:val="left" w:pos="360"/>
        </w:tabs>
        <w:ind w:left="1060" w:right="19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 gadu pieredze Eiropas Savienības līdzfinansētu projektu vadīšanā uzņēmumā</w:t>
      </w:r>
    </w:p>
    <w:p w14:paraId="2EDF01BF" w14:textId="79233784" w:rsidR="000D2688" w:rsidRDefault="000D2688" w:rsidP="000D2688">
      <w:pPr>
        <w:widowControl/>
        <w:numPr>
          <w:ilvl w:val="0"/>
          <w:numId w:val="2"/>
        </w:numPr>
        <w:tabs>
          <w:tab w:val="left" w:pos="360"/>
        </w:tabs>
        <w:ind w:left="1060" w:right="19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LSGŪTIS Ekspluatācijas prakses sertifikāts Nr. E-144-P</w:t>
      </w:r>
      <w:r w:rsidR="003D6262">
        <w:rPr>
          <w:rFonts w:ascii="Times New Roman" w:hAnsi="Times New Roman"/>
        </w:rPr>
        <w:t>;</w:t>
      </w:r>
    </w:p>
    <w:p w14:paraId="1098320A" w14:textId="77777777" w:rsidR="000D2688" w:rsidRDefault="000D2688" w:rsidP="000D2688">
      <w:pPr>
        <w:widowControl/>
        <w:ind w:right="198"/>
        <w:rPr>
          <w:rFonts w:ascii="Times New Roman" w:hAnsi="Times New Roman"/>
        </w:rPr>
      </w:pPr>
    </w:p>
    <w:p w14:paraId="4990FEA3" w14:textId="5D6DF3FE" w:rsidR="00EF7503" w:rsidRDefault="000D2688">
      <w:pPr>
        <w:widowControl/>
        <w:tabs>
          <w:tab w:val="left" w:pos="1843"/>
        </w:tabs>
        <w:ind w:right="19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53220">
        <w:rPr>
          <w:rFonts w:ascii="Times New Roman" w:hAnsi="Times New Roman"/>
          <w:b/>
        </w:rPr>
        <w:t>.</w:t>
      </w:r>
      <w:r w:rsidR="00EF7503">
        <w:rPr>
          <w:rFonts w:ascii="Times New Roman" w:hAnsi="Times New Roman"/>
          <w:b/>
        </w:rPr>
        <w:t xml:space="preserve"> Izglītība:</w:t>
      </w:r>
      <w:r w:rsidR="00EF7503">
        <w:rPr>
          <w:rFonts w:ascii="Times New Roman" w:hAnsi="Times New Roman"/>
          <w:b/>
        </w:rPr>
        <w:tab/>
      </w:r>
    </w:p>
    <w:p w14:paraId="5A859DC3" w14:textId="77777777" w:rsidR="00EF7503" w:rsidRDefault="00EF7503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EF7503" w14:paraId="3AFFCA17" w14:textId="77777777" w:rsidTr="000D2688">
        <w:tc>
          <w:tcPr>
            <w:tcW w:w="3544" w:type="dxa"/>
          </w:tcPr>
          <w:p w14:paraId="530226EB" w14:textId="77777777" w:rsidR="00EF7503" w:rsidRDefault="00EF750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Mācību iestāde</w:t>
            </w:r>
          </w:p>
        </w:tc>
        <w:tc>
          <w:tcPr>
            <w:tcW w:w="5528" w:type="dxa"/>
          </w:tcPr>
          <w:p w14:paraId="149BE07D" w14:textId="77777777" w:rsidR="00EF7503" w:rsidRDefault="00EF750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Rīgas Politehniskais Institūts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</w:tr>
      <w:tr w:rsidR="00EF7503" w14:paraId="2CD2910F" w14:textId="77777777" w:rsidTr="000D2688">
        <w:tc>
          <w:tcPr>
            <w:tcW w:w="3544" w:type="dxa"/>
          </w:tcPr>
          <w:p w14:paraId="01F8B46B" w14:textId="77777777" w:rsidR="00EF7503" w:rsidRDefault="00EF750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</w:t>
            </w:r>
          </w:p>
        </w:tc>
        <w:tc>
          <w:tcPr>
            <w:tcW w:w="5528" w:type="dxa"/>
          </w:tcPr>
          <w:p w14:paraId="3D2E1B1A" w14:textId="77777777" w:rsidR="00EF7503" w:rsidRDefault="00B571AB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</w:tr>
      <w:tr w:rsidR="00EF7503" w14:paraId="20169EF7" w14:textId="77777777" w:rsidTr="000D2688">
        <w:tc>
          <w:tcPr>
            <w:tcW w:w="3544" w:type="dxa"/>
          </w:tcPr>
          <w:p w14:paraId="2513CA69" w14:textId="77777777" w:rsidR="00EF7503" w:rsidRDefault="00EF750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Iegūtais diploms:</w:t>
            </w:r>
          </w:p>
        </w:tc>
        <w:tc>
          <w:tcPr>
            <w:tcW w:w="5528" w:type="dxa"/>
          </w:tcPr>
          <w:p w14:paraId="0348EF72" w14:textId="77777777" w:rsidR="00EF7503" w:rsidRDefault="00B571AB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Inženieris ekonomists</w:t>
            </w:r>
            <w:r w:rsidR="005A0B8D">
              <w:rPr>
                <w:rFonts w:ascii="Times New Roman" w:hAnsi="Times New Roman"/>
              </w:rPr>
              <w:t>, AIC 10.10.2012. lēmums Nr.142/5960 - piešķirtā kvalifikācija pielīdzināta maģistra grādam un piektā līmeņa profesionālajai kvalifikācijai</w:t>
            </w:r>
          </w:p>
        </w:tc>
      </w:tr>
    </w:tbl>
    <w:p w14:paraId="08F7FD21" w14:textId="77777777" w:rsidR="000D2688" w:rsidRDefault="000D2688" w:rsidP="000D2688">
      <w:pPr>
        <w:widowControl/>
        <w:ind w:right="198"/>
        <w:rPr>
          <w:rFonts w:ascii="Times New Roman" w:hAnsi="Times New Roman"/>
          <w:b/>
        </w:rPr>
      </w:pPr>
    </w:p>
    <w:p w14:paraId="0DE8EC55" w14:textId="2BF1A439" w:rsidR="000D2688" w:rsidRDefault="000D2688" w:rsidP="000D2688">
      <w:pPr>
        <w:widowControl/>
        <w:ind w:right="19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Cita papildus izglītība /kursi /apmācība:</w:t>
      </w:r>
      <w:r>
        <w:rPr>
          <w:rFonts w:ascii="Times New Roman" w:hAnsi="Times New Roman"/>
        </w:rPr>
        <w:t xml:space="preserve"> </w:t>
      </w:r>
    </w:p>
    <w:p w14:paraId="3BBF3306" w14:textId="77777777" w:rsidR="000D2688" w:rsidRDefault="000D2688" w:rsidP="000D2688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154539" w14:textId="14F31424" w:rsidR="000D2688" w:rsidRDefault="000D2688" w:rsidP="000D2688">
      <w:pPr>
        <w:widowControl/>
        <w:numPr>
          <w:ilvl w:val="0"/>
          <w:numId w:val="2"/>
        </w:numPr>
        <w:tabs>
          <w:tab w:val="left" w:pos="1080"/>
        </w:tabs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>Menedžments, m</w:t>
      </w:r>
      <w:r w:rsidR="00225205">
        <w:rPr>
          <w:rFonts w:ascii="Times New Roman" w:hAnsi="Times New Roman"/>
        </w:rPr>
        <w:t>ā</w:t>
      </w:r>
      <w:r>
        <w:rPr>
          <w:rFonts w:ascii="Times New Roman" w:hAnsi="Times New Roman"/>
        </w:rPr>
        <w:t>rketings un grāmatvedība, Austrijas Ekonomikas palātas WKO Ekonomikas veicināšanas institūts WIFI</w:t>
      </w:r>
    </w:p>
    <w:p w14:paraId="180D5F98" w14:textId="77777777" w:rsidR="000D2688" w:rsidRDefault="000D2688" w:rsidP="000D2688">
      <w:pPr>
        <w:widowControl/>
        <w:numPr>
          <w:ilvl w:val="0"/>
          <w:numId w:val="2"/>
        </w:numPr>
        <w:tabs>
          <w:tab w:val="left" w:pos="1080"/>
        </w:tabs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Pasaules Bankas Seminārs par finansēm </w:t>
      </w:r>
    </w:p>
    <w:p w14:paraId="5419136C" w14:textId="77777777" w:rsidR="000D2688" w:rsidRDefault="000D2688" w:rsidP="000D2688">
      <w:pPr>
        <w:widowControl/>
        <w:numPr>
          <w:ilvl w:val="0"/>
          <w:numId w:val="2"/>
        </w:numPr>
        <w:tabs>
          <w:tab w:val="left" w:pos="1080"/>
        </w:tabs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>Jūrmalas valodu centrs- intensīvie angļu valodas kursi</w:t>
      </w:r>
    </w:p>
    <w:p w14:paraId="610B01D4" w14:textId="0C60D049" w:rsidR="000D2688" w:rsidRDefault="000D2688" w:rsidP="000D2688">
      <w:pPr>
        <w:widowControl/>
        <w:numPr>
          <w:ilvl w:val="0"/>
          <w:numId w:val="2"/>
        </w:numPr>
        <w:tabs>
          <w:tab w:val="left" w:pos="1080"/>
        </w:tabs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>Somijas Vides Ministrijas Seminārs par celtniecības pārraudzību un projektu vadību (Somijā)</w:t>
      </w:r>
      <w:r w:rsidR="003D6262">
        <w:rPr>
          <w:rFonts w:ascii="Times New Roman" w:hAnsi="Times New Roman"/>
        </w:rPr>
        <w:t>;</w:t>
      </w:r>
    </w:p>
    <w:p w14:paraId="1EDD2634" w14:textId="77777777" w:rsidR="00EF7503" w:rsidRDefault="00EF7503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</w:p>
    <w:p w14:paraId="62A467A1" w14:textId="11F8DA8B" w:rsidR="000C5B89" w:rsidRPr="003D6262" w:rsidRDefault="000D2688">
      <w:pPr>
        <w:widowControl/>
        <w:tabs>
          <w:tab w:val="left" w:pos="1843"/>
        </w:tabs>
        <w:ind w:right="198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5</w:t>
      </w:r>
      <w:r w:rsidR="00953220">
        <w:rPr>
          <w:rFonts w:ascii="Times New Roman" w:hAnsi="Times New Roman"/>
          <w:b/>
        </w:rPr>
        <w:t xml:space="preserve">. </w:t>
      </w:r>
      <w:r w:rsidR="000C5B89">
        <w:rPr>
          <w:rFonts w:ascii="Times New Roman" w:hAnsi="Times New Roman"/>
          <w:b/>
        </w:rPr>
        <w:t>Valodu zināšanas</w:t>
      </w:r>
      <w:r w:rsidR="003D6262">
        <w:rPr>
          <w:rFonts w:ascii="Times New Roman" w:hAnsi="Times New Roman"/>
          <w:b/>
        </w:rPr>
        <w:t xml:space="preserve">: </w:t>
      </w:r>
      <w:r w:rsidR="000C5B89">
        <w:rPr>
          <w:rFonts w:ascii="Times New Roman" w:hAnsi="Times New Roman"/>
          <w:b/>
        </w:rPr>
        <w:t xml:space="preserve"> </w:t>
      </w:r>
      <w:r w:rsidR="000C5B89" w:rsidRPr="003D6262">
        <w:rPr>
          <w:rFonts w:ascii="Times New Roman" w:hAnsi="Times New Roman"/>
          <w:bCs/>
        </w:rPr>
        <w:t>latviešu – dzimtā valoda;</w:t>
      </w:r>
    </w:p>
    <w:p w14:paraId="57FFB7AA" w14:textId="2538676D" w:rsidR="00EF7503" w:rsidRDefault="000C5B89">
      <w:pPr>
        <w:widowControl/>
        <w:tabs>
          <w:tab w:val="left" w:pos="1843"/>
        </w:tabs>
        <w:ind w:right="19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0E45CA">
        <w:rPr>
          <w:rFonts w:ascii="Times New Roman" w:hAnsi="Times New Roman"/>
          <w:b/>
        </w:rPr>
        <w:t>Papildu v</w:t>
      </w:r>
      <w:r w:rsidR="00EF7503">
        <w:rPr>
          <w:rFonts w:ascii="Times New Roman" w:hAnsi="Times New Roman"/>
          <w:b/>
        </w:rPr>
        <w:t>alodas zināšanas</w:t>
      </w:r>
      <w:r w:rsidR="003D6262">
        <w:rPr>
          <w:rFonts w:ascii="Times New Roman" w:hAnsi="Times New Roman"/>
          <w:b/>
        </w:rPr>
        <w:t xml:space="preserve">:  </w:t>
      </w:r>
      <w:r w:rsidR="00953220" w:rsidRPr="003D6262">
        <w:rPr>
          <w:rFonts w:ascii="Times New Roman" w:hAnsi="Times New Roman"/>
          <w:bCs/>
        </w:rPr>
        <w:t>angļu, krievu</w:t>
      </w:r>
    </w:p>
    <w:p w14:paraId="3AE9A4F0" w14:textId="77777777" w:rsidR="00EF7503" w:rsidRDefault="00EF7503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0695CEF" w14:textId="15B44428" w:rsidR="00EF7503" w:rsidRDefault="000D2688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EF7503">
        <w:rPr>
          <w:rFonts w:ascii="Times New Roman" w:hAnsi="Times New Roman"/>
          <w:b/>
        </w:rPr>
        <w:t>. Profesionālo asociāciju biedrs</w:t>
      </w:r>
      <w:r w:rsidR="00EF7503">
        <w:rPr>
          <w:rFonts w:ascii="Times New Roman" w:hAnsi="Times New Roman"/>
        </w:rPr>
        <w:t>:</w:t>
      </w:r>
      <w:r w:rsidR="00EF7503">
        <w:rPr>
          <w:rFonts w:ascii="Times New Roman" w:hAnsi="Times New Roman"/>
        </w:rPr>
        <w:tab/>
      </w:r>
    </w:p>
    <w:p w14:paraId="551F1D2E" w14:textId="77777777" w:rsidR="00EF7503" w:rsidRDefault="00EF7503">
      <w:pPr>
        <w:widowControl/>
        <w:tabs>
          <w:tab w:val="left" w:pos="1843"/>
        </w:tabs>
        <w:ind w:right="198"/>
        <w:rPr>
          <w:rFonts w:ascii="Times New Roman" w:hAnsi="Times New Roman"/>
        </w:rPr>
      </w:pPr>
    </w:p>
    <w:p w14:paraId="25AF5E2E" w14:textId="6E6F825F" w:rsidR="00EF7503" w:rsidRDefault="00EF7503">
      <w:pPr>
        <w:widowControl/>
        <w:numPr>
          <w:ilvl w:val="0"/>
          <w:numId w:val="8"/>
        </w:numPr>
        <w:tabs>
          <w:tab w:val="left" w:pos="1843"/>
        </w:tabs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>Latvijas ūdensapgādes un kanalizācijas uzņēmumu asociācija</w:t>
      </w:r>
      <w:r w:rsidR="003D6262">
        <w:rPr>
          <w:rFonts w:ascii="Times New Roman" w:hAnsi="Times New Roman"/>
        </w:rPr>
        <w:t>;</w:t>
      </w:r>
    </w:p>
    <w:p w14:paraId="53BCD6D6" w14:textId="77777777" w:rsidR="00EF7503" w:rsidRDefault="00EF7503">
      <w:pPr>
        <w:widowControl/>
        <w:ind w:right="198"/>
        <w:rPr>
          <w:rFonts w:ascii="Times New Roman" w:hAnsi="Times New Roman"/>
          <w:b/>
        </w:rPr>
      </w:pPr>
    </w:p>
    <w:p w14:paraId="398E2353" w14:textId="5029CB77" w:rsidR="00EF7503" w:rsidRPr="003D6262" w:rsidRDefault="000D2688">
      <w:pPr>
        <w:widowControl/>
        <w:ind w:left="2880" w:right="198" w:hanging="2880"/>
        <w:rPr>
          <w:rFonts w:ascii="Times New Roman" w:hAnsi="Times New Roman"/>
          <w:bCs/>
        </w:rPr>
      </w:pPr>
      <w:r w:rsidRPr="003D6262">
        <w:rPr>
          <w:rFonts w:ascii="Times New Roman" w:hAnsi="Times New Roman"/>
          <w:b/>
        </w:rPr>
        <w:t xml:space="preserve">7. </w:t>
      </w:r>
      <w:r w:rsidR="003D6262" w:rsidRPr="003D6262">
        <w:rPr>
          <w:rFonts w:ascii="Times New Roman" w:hAnsi="Times New Roman"/>
          <w:b/>
        </w:rPr>
        <w:t xml:space="preserve">Amati citās kapitālsabiedrībās: </w:t>
      </w:r>
      <w:r w:rsidR="003D6262" w:rsidRPr="003D6262">
        <w:rPr>
          <w:rFonts w:ascii="Times New Roman" w:hAnsi="Times New Roman"/>
          <w:bCs/>
        </w:rPr>
        <w:t>nav amatu citās kapitālsabiedrībās;</w:t>
      </w:r>
    </w:p>
    <w:p w14:paraId="3479AA9E" w14:textId="77777777" w:rsidR="003D6262" w:rsidRDefault="003D6262">
      <w:pPr>
        <w:widowControl/>
        <w:ind w:left="2880" w:right="198" w:hanging="2880"/>
        <w:rPr>
          <w:rFonts w:ascii="Times New Roman" w:hAnsi="Times New Roman"/>
          <w:b/>
        </w:rPr>
      </w:pPr>
    </w:p>
    <w:p w14:paraId="3A0EDC8E" w14:textId="77777777" w:rsidR="003D6262" w:rsidRDefault="003D6262" w:rsidP="003D6262">
      <w:pPr>
        <w:ind w:left="284" w:hanging="284"/>
        <w:jc w:val="both"/>
        <w:rPr>
          <w:bCs/>
        </w:rPr>
      </w:pPr>
      <w:r>
        <w:rPr>
          <w:rFonts w:ascii="Times New Roman" w:hAnsi="Times New Roman"/>
          <w:b/>
        </w:rPr>
        <w:t xml:space="preserve">8. Pilnvaru termiņš: </w:t>
      </w:r>
      <w:r>
        <w:rPr>
          <w:bCs/>
        </w:rPr>
        <w:t xml:space="preserve">sākot no </w:t>
      </w:r>
      <w:r w:rsidRPr="003A3745">
        <w:rPr>
          <w:bCs/>
        </w:rPr>
        <w:t>2025.gada 19.augusta.</w:t>
      </w:r>
      <w:r>
        <w:rPr>
          <w:bCs/>
        </w:rPr>
        <w:t xml:space="preserve"> Pamatojoties uz </w:t>
      </w:r>
      <w:r w:rsidRPr="00AA4ECE">
        <w:rPr>
          <w:bCs/>
        </w:rPr>
        <w:t>Publiskas personas kapitāla daļu un kapitālsabiedrību pārvaldības likuma</w:t>
      </w:r>
      <w:r>
        <w:rPr>
          <w:bCs/>
        </w:rPr>
        <w:t xml:space="preserve"> </w:t>
      </w:r>
      <w:r w:rsidRPr="000B255B">
        <w:rPr>
          <w:bCs/>
        </w:rPr>
        <w:t xml:space="preserve">37.panta </w:t>
      </w:r>
      <w:r>
        <w:rPr>
          <w:bCs/>
        </w:rPr>
        <w:t>9</w:t>
      </w:r>
      <w:r w:rsidRPr="000B255B">
        <w:rPr>
          <w:bCs/>
        </w:rPr>
        <w:t>. daļ</w:t>
      </w:r>
      <w:r>
        <w:rPr>
          <w:bCs/>
        </w:rPr>
        <w:t>u,</w:t>
      </w:r>
      <w:r w:rsidRPr="0026348A">
        <w:rPr>
          <w:bCs/>
        </w:rPr>
        <w:t xml:space="preserve"> </w:t>
      </w:r>
      <w:r>
        <w:rPr>
          <w:bCs/>
        </w:rPr>
        <w:t xml:space="preserve">valdes loceklis </w:t>
      </w:r>
      <w:r w:rsidRPr="0026348A">
        <w:rPr>
          <w:bCs/>
        </w:rPr>
        <w:t xml:space="preserve">amata pienākumus pilda līdz brīdim, kad </w:t>
      </w:r>
      <w:r>
        <w:rPr>
          <w:bCs/>
        </w:rPr>
        <w:t>37.</w:t>
      </w:r>
      <w:r w:rsidRPr="0026348A">
        <w:rPr>
          <w:bCs/>
        </w:rPr>
        <w:t xml:space="preserve"> pantā noteiktajā nominēšanas kārtībā kapitāla daļu turētājs amatā iece</w:t>
      </w:r>
      <w:r>
        <w:rPr>
          <w:bCs/>
        </w:rPr>
        <w:t>ls</w:t>
      </w:r>
      <w:r w:rsidRPr="0026348A">
        <w:rPr>
          <w:bCs/>
        </w:rPr>
        <w:t xml:space="preserve"> šo </w:t>
      </w:r>
      <w:r>
        <w:rPr>
          <w:bCs/>
        </w:rPr>
        <w:t>valdes locekli</w:t>
      </w:r>
      <w:r w:rsidRPr="0026348A">
        <w:rPr>
          <w:bCs/>
        </w:rPr>
        <w:t xml:space="preserve"> vai citu kandidātu.</w:t>
      </w:r>
    </w:p>
    <w:p w14:paraId="2967119B" w14:textId="77777777" w:rsidR="00B96DF0" w:rsidRDefault="00B96DF0" w:rsidP="003D6262">
      <w:pPr>
        <w:ind w:left="284" w:hanging="284"/>
        <w:jc w:val="both"/>
        <w:rPr>
          <w:bCs/>
        </w:rPr>
      </w:pPr>
    </w:p>
    <w:p w14:paraId="19A22BDC" w14:textId="1248F483" w:rsidR="00B96DF0" w:rsidRDefault="00B96DF0" w:rsidP="003D6262">
      <w:pPr>
        <w:ind w:left="284" w:hanging="284"/>
        <w:jc w:val="both"/>
        <w:rPr>
          <w:bCs/>
        </w:rPr>
      </w:pPr>
    </w:p>
    <w:p w14:paraId="3D0096C4" w14:textId="672FFBD1" w:rsidR="003D6262" w:rsidRPr="003D6262" w:rsidRDefault="003D6262">
      <w:pPr>
        <w:widowControl/>
        <w:ind w:left="2880" w:right="198" w:hanging="2880"/>
        <w:rPr>
          <w:rFonts w:ascii="Times New Roman" w:hAnsi="Times New Roman"/>
          <w:b/>
        </w:rPr>
      </w:pPr>
    </w:p>
    <w:p w14:paraId="76B8AB01" w14:textId="77777777" w:rsidR="003D6262" w:rsidRDefault="003D6262">
      <w:pPr>
        <w:widowControl/>
        <w:ind w:left="2880" w:right="198" w:hanging="2880"/>
        <w:rPr>
          <w:rFonts w:ascii="Times New Roman" w:hAnsi="Times New Roman"/>
          <w:bCs/>
        </w:rPr>
      </w:pPr>
    </w:p>
    <w:p w14:paraId="1CEDEB57" w14:textId="77777777" w:rsidR="00EF7503" w:rsidRDefault="00EF7503">
      <w:pPr>
        <w:widowControl/>
        <w:ind w:left="2880" w:right="198" w:hanging="2880"/>
        <w:rPr>
          <w:rFonts w:ascii="Times New Roman" w:hAnsi="Times New Roman"/>
          <w:bCs/>
        </w:rPr>
      </w:pPr>
    </w:p>
    <w:p w14:paraId="57CD25F6" w14:textId="77777777" w:rsidR="00EF7503" w:rsidRDefault="00EF7503" w:rsidP="000D2688">
      <w:pPr>
        <w:widowControl/>
        <w:ind w:left="2880" w:right="198" w:firstLine="720"/>
        <w:rPr>
          <w:rFonts w:ascii="Times New Roman" w:hAnsi="Times New Roman"/>
        </w:rPr>
      </w:pPr>
    </w:p>
    <w:sectPr w:rsidR="00EF7503" w:rsidSect="00AE54A6">
      <w:footerReference w:type="even" r:id="rId7"/>
      <w:endnotePr>
        <w:numFmt w:val="decimal"/>
      </w:endnotePr>
      <w:pgSz w:w="11907" w:h="16840" w:code="9"/>
      <w:pgMar w:top="964" w:right="1418" w:bottom="709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9FB7" w14:textId="77777777" w:rsidR="007E7DB3" w:rsidRDefault="007E7DB3">
      <w:r>
        <w:separator/>
      </w:r>
    </w:p>
  </w:endnote>
  <w:endnote w:type="continuationSeparator" w:id="0">
    <w:p w14:paraId="7DD0031E" w14:textId="77777777" w:rsidR="007E7DB3" w:rsidRDefault="007E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CD92" w14:textId="77777777" w:rsidR="00EF7503" w:rsidRDefault="001A1DD5">
    <w:pPr>
      <w:pStyle w:val="Kjene"/>
      <w:framePr w:wrap="auto" w:vAnchor="text" w:hAnchor="margin" w:xAlign="center" w:y="1"/>
      <w:widowControl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EF7503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EF7503">
      <w:rPr>
        <w:rStyle w:val="Lappusesnumurs"/>
        <w:noProof/>
        <w:sz w:val="24"/>
      </w:rPr>
      <w:t>1</w:t>
    </w:r>
    <w:r>
      <w:rPr>
        <w:rStyle w:val="Lappusesnumurs"/>
        <w:sz w:val="24"/>
      </w:rPr>
      <w:fldChar w:fldCharType="end"/>
    </w:r>
  </w:p>
  <w:p w14:paraId="0389323C" w14:textId="77777777" w:rsidR="00EF7503" w:rsidRDefault="00EF7503">
    <w:pPr>
      <w:pStyle w:val="Kjen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BC1B" w14:textId="77777777" w:rsidR="007E7DB3" w:rsidRDefault="007E7DB3">
      <w:r>
        <w:separator/>
      </w:r>
    </w:p>
  </w:footnote>
  <w:footnote w:type="continuationSeparator" w:id="0">
    <w:p w14:paraId="29ABAA6F" w14:textId="77777777" w:rsidR="007E7DB3" w:rsidRDefault="007E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4A4C7A"/>
    <w:lvl w:ilvl="0">
      <w:numFmt w:val="decimal"/>
      <w:lvlText w:val="*"/>
      <w:lvlJc w:val="left"/>
    </w:lvl>
  </w:abstractNum>
  <w:abstractNum w:abstractNumId="1" w15:restartNumberingAfterBreak="0">
    <w:nsid w:val="1FEA78A4"/>
    <w:multiLevelType w:val="singleLevel"/>
    <w:tmpl w:val="EC8EA172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" w15:restartNumberingAfterBreak="0">
    <w:nsid w:val="23801361"/>
    <w:multiLevelType w:val="singleLevel"/>
    <w:tmpl w:val="4F12F55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2D3B76FF"/>
    <w:multiLevelType w:val="singleLevel"/>
    <w:tmpl w:val="ABE2A890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47C16FD1"/>
    <w:multiLevelType w:val="hybridMultilevel"/>
    <w:tmpl w:val="DE2E3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2E6A"/>
    <w:multiLevelType w:val="hybridMultilevel"/>
    <w:tmpl w:val="93025F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7D5E09"/>
    <w:multiLevelType w:val="hybridMultilevel"/>
    <w:tmpl w:val="8A30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810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754831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0"/>
        </w:rPr>
      </w:lvl>
    </w:lvlOverride>
  </w:num>
  <w:num w:numId="3" w16cid:durableId="763570160">
    <w:abstractNumId w:val="2"/>
  </w:num>
  <w:num w:numId="4" w16cid:durableId="859977285">
    <w:abstractNumId w:val="3"/>
  </w:num>
  <w:num w:numId="5" w16cid:durableId="218395152">
    <w:abstractNumId w:val="1"/>
  </w:num>
  <w:num w:numId="6" w16cid:durableId="477768145">
    <w:abstractNumId w:val="4"/>
  </w:num>
  <w:num w:numId="7" w16cid:durableId="1916890034">
    <w:abstractNumId w:val="5"/>
  </w:num>
  <w:num w:numId="8" w16cid:durableId="999503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A"/>
    <w:rsid w:val="000026DA"/>
    <w:rsid w:val="0005600E"/>
    <w:rsid w:val="000C5B89"/>
    <w:rsid w:val="000D2688"/>
    <w:rsid w:val="000E45CA"/>
    <w:rsid w:val="0012433C"/>
    <w:rsid w:val="001A1DD5"/>
    <w:rsid w:val="00225205"/>
    <w:rsid w:val="002479FD"/>
    <w:rsid w:val="00297A5D"/>
    <w:rsid w:val="002C61E2"/>
    <w:rsid w:val="00347718"/>
    <w:rsid w:val="003848EE"/>
    <w:rsid w:val="003D6262"/>
    <w:rsid w:val="003F6D04"/>
    <w:rsid w:val="00547C4D"/>
    <w:rsid w:val="005A0B8D"/>
    <w:rsid w:val="006355E6"/>
    <w:rsid w:val="0072093B"/>
    <w:rsid w:val="007E7DB3"/>
    <w:rsid w:val="00953220"/>
    <w:rsid w:val="00A437AD"/>
    <w:rsid w:val="00A85572"/>
    <w:rsid w:val="00AD289D"/>
    <w:rsid w:val="00AE54A6"/>
    <w:rsid w:val="00AE7C8B"/>
    <w:rsid w:val="00B00ED6"/>
    <w:rsid w:val="00B05A7B"/>
    <w:rsid w:val="00B571AB"/>
    <w:rsid w:val="00B606AC"/>
    <w:rsid w:val="00B96DF0"/>
    <w:rsid w:val="00C57604"/>
    <w:rsid w:val="00C7268B"/>
    <w:rsid w:val="00CD4E74"/>
    <w:rsid w:val="00CF0816"/>
    <w:rsid w:val="00D84CC7"/>
    <w:rsid w:val="00D93373"/>
    <w:rsid w:val="00D96742"/>
    <w:rsid w:val="00E262C0"/>
    <w:rsid w:val="00E536B8"/>
    <w:rsid w:val="00E95A2A"/>
    <w:rsid w:val="00EA6BE6"/>
    <w:rsid w:val="00EF7503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4AE46"/>
  <w15:docId w15:val="{DE34F01E-6C84-4DA7-B387-631205B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D26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RimTimes" w:hAnsi="RimTimes"/>
      <w:sz w:val="24"/>
      <w:lang w:eastAsia="en-US"/>
    </w:rPr>
  </w:style>
  <w:style w:type="paragraph" w:styleId="Virsraksts1">
    <w:name w:val="heading 1"/>
    <w:basedOn w:val="Parasts"/>
    <w:next w:val="Parasts"/>
    <w:qFormat/>
    <w:rsid w:val="001A1DD5"/>
    <w:pPr>
      <w:keepNext/>
      <w:spacing w:before="240" w:after="240"/>
      <w:outlineLvl w:val="0"/>
    </w:pPr>
    <w:rPr>
      <w:b/>
      <w:caps/>
      <w:kern w:val="28"/>
    </w:rPr>
  </w:style>
  <w:style w:type="paragraph" w:styleId="Virsraksts2">
    <w:name w:val="heading 2"/>
    <w:basedOn w:val="Parasts"/>
    <w:next w:val="Parasts"/>
    <w:qFormat/>
    <w:rsid w:val="001A1DD5"/>
    <w:pPr>
      <w:keepNext/>
      <w:spacing w:after="240"/>
      <w:outlineLvl w:val="1"/>
    </w:pPr>
    <w:rPr>
      <w:b/>
      <w:i/>
      <w:sz w:val="28"/>
    </w:rPr>
  </w:style>
  <w:style w:type="paragraph" w:styleId="Virsraksts3">
    <w:name w:val="heading 3"/>
    <w:basedOn w:val="Parasts"/>
    <w:next w:val="Parasts"/>
    <w:qFormat/>
    <w:rsid w:val="001A1DD5"/>
    <w:pPr>
      <w:keepNext/>
      <w:spacing w:after="240"/>
      <w:ind w:left="1701"/>
      <w:outlineLvl w:val="2"/>
    </w:pPr>
    <w:rPr>
      <w:b/>
      <w:i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1A1DD5"/>
    <w:pPr>
      <w:spacing w:after="240"/>
      <w:ind w:left="1701"/>
    </w:pPr>
  </w:style>
  <w:style w:type="paragraph" w:styleId="Saturs1">
    <w:name w:val="toc 1"/>
    <w:basedOn w:val="Parasts"/>
    <w:next w:val="Parasts"/>
    <w:semiHidden/>
    <w:rsid w:val="001A1DD5"/>
    <w:pPr>
      <w:tabs>
        <w:tab w:val="right" w:pos="9027"/>
      </w:tabs>
      <w:spacing w:before="120" w:after="120"/>
    </w:pPr>
    <w:rPr>
      <w:b/>
      <w:caps/>
    </w:rPr>
  </w:style>
  <w:style w:type="paragraph" w:styleId="Saturs2">
    <w:name w:val="toc 2"/>
    <w:basedOn w:val="Parasts"/>
    <w:next w:val="Parasts"/>
    <w:semiHidden/>
    <w:rsid w:val="001A1DD5"/>
    <w:pPr>
      <w:tabs>
        <w:tab w:val="right" w:pos="9027"/>
      </w:tabs>
    </w:pPr>
    <w:rPr>
      <w:i/>
    </w:rPr>
  </w:style>
  <w:style w:type="paragraph" w:styleId="Saturs3">
    <w:name w:val="toc 3"/>
    <w:basedOn w:val="Parasts"/>
    <w:next w:val="Parasts"/>
    <w:semiHidden/>
    <w:rsid w:val="001A1DD5"/>
    <w:pPr>
      <w:tabs>
        <w:tab w:val="right" w:pos="9027"/>
      </w:tabs>
      <w:ind w:left="851"/>
    </w:pPr>
  </w:style>
  <w:style w:type="paragraph" w:styleId="Kjene">
    <w:name w:val="footer"/>
    <w:basedOn w:val="Parasts"/>
    <w:rsid w:val="001A1DD5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1A1DD5"/>
    <w:rPr>
      <w:sz w:val="20"/>
    </w:rPr>
  </w:style>
  <w:style w:type="paragraph" w:styleId="Galvene">
    <w:name w:val="header"/>
    <w:basedOn w:val="Parasts"/>
    <w:rsid w:val="001A1DD5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1A1DD5"/>
    <w:pPr>
      <w:widowControl/>
      <w:ind w:right="198"/>
      <w:jc w:val="both"/>
    </w:pPr>
    <w:rPr>
      <w:rFonts w:ascii="Times New Roman" w:hAnsi="Times New Roman"/>
      <w:bCs/>
    </w:rPr>
  </w:style>
  <w:style w:type="paragraph" w:styleId="Balonteksts">
    <w:name w:val="Balloon Text"/>
    <w:basedOn w:val="Parasts"/>
    <w:semiHidden/>
    <w:rsid w:val="00D9337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E4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VITAE</vt:lpstr>
      <vt:lpstr>CURRICULUM  VITAE</vt:lpstr>
    </vt:vector>
  </TitlesOfParts>
  <Company>Vides Aizsardzibas komiteja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>CV</dc:subject>
  <dc:creator>Viktors Brenners</dc:creator>
  <cp:lastModifiedBy>Zane Ostrovska</cp:lastModifiedBy>
  <cp:revision>5</cp:revision>
  <cp:lastPrinted>2011-09-09T10:57:00Z</cp:lastPrinted>
  <dcterms:created xsi:type="dcterms:W3CDTF">2025-10-21T08:01:00Z</dcterms:created>
  <dcterms:modified xsi:type="dcterms:W3CDTF">2025-10-27T07:23:00Z</dcterms:modified>
</cp:coreProperties>
</file>